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35D2" w:rsidRDefault="00B72ED1">
      <w:pPr>
        <w:pStyle w:val="Titre"/>
      </w:pPr>
      <w:r>
        <w:rPr>
          <w:noProof/>
          <w:lang w:eastAsia="fr-FR"/>
        </w:rPr>
        <w:drawing>
          <wp:inline distT="0" distB="0" distL="0" distR="0">
            <wp:extent cx="962025" cy="6191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5D2" w:rsidRDefault="001D1A97">
      <w:pPr>
        <w:pStyle w:val="Titre"/>
      </w:pPr>
      <w:r>
        <w:t>Modèle d’article pour l</w:t>
      </w:r>
      <w:r w:rsidR="003465EE">
        <w:t>es Journées Thématiques GDR 2018</w:t>
      </w:r>
    </w:p>
    <w:p w:rsidR="009B35D2" w:rsidRPr="003465EE" w:rsidRDefault="001D1A97">
      <w:pPr>
        <w:pStyle w:val="Auteur"/>
        <w:rPr>
          <w:vertAlign w:val="superscript"/>
        </w:rPr>
      </w:pPr>
      <w:r w:rsidRPr="003465EE">
        <w:t>Jacek Gieratowski</w:t>
      </w:r>
      <w:r w:rsidRPr="003465EE">
        <w:rPr>
          <w:vertAlign w:val="superscript"/>
        </w:rPr>
        <w:t>1</w:t>
      </w:r>
      <w:r w:rsidRPr="003465EE">
        <w:t xml:space="preserve">, </w:t>
      </w:r>
      <w:r w:rsidR="003465EE" w:rsidRPr="003465EE">
        <w:t>Florence François</w:t>
      </w:r>
      <w:r w:rsidRPr="003465EE">
        <w:rPr>
          <w:vertAlign w:val="superscript"/>
        </w:rPr>
        <w:t>2</w:t>
      </w:r>
      <w:r w:rsidRPr="003465EE">
        <w:t xml:space="preserve">, </w:t>
      </w:r>
      <w:proofErr w:type="spellStart"/>
      <w:r w:rsidR="003465EE" w:rsidRPr="003465EE">
        <w:t>Laure-Line</w:t>
      </w:r>
      <w:proofErr w:type="spellEnd"/>
      <w:r w:rsidR="003465EE" w:rsidRPr="003465EE">
        <w:t xml:space="preserve"> Rouve</w:t>
      </w:r>
      <w:r w:rsidRPr="003465EE">
        <w:rPr>
          <w:vertAlign w:val="superscript"/>
        </w:rPr>
        <w:t>2</w:t>
      </w:r>
      <w:r w:rsidR="003465EE">
        <w:t xml:space="preserve"> </w:t>
      </w:r>
      <w:proofErr w:type="spellStart"/>
      <w:r w:rsidR="003465EE">
        <w:t>Aktham</w:t>
      </w:r>
      <w:proofErr w:type="spellEnd"/>
      <w:r w:rsidR="003465EE">
        <w:t xml:space="preserve"> Asfour</w:t>
      </w:r>
      <w:r w:rsidR="003465EE" w:rsidRPr="003465EE">
        <w:rPr>
          <w:vertAlign w:val="superscript"/>
        </w:rPr>
        <w:t>2</w:t>
      </w:r>
    </w:p>
    <w:p w:rsidR="009B35D2" w:rsidRDefault="001D1A97">
      <w:pPr>
        <w:pStyle w:val="Institution"/>
        <w:rPr>
          <w:szCs w:val="22"/>
          <w:vertAlign w:val="superscript"/>
        </w:rPr>
      </w:pPr>
      <w:r>
        <w:rPr>
          <w:szCs w:val="22"/>
          <w:vertAlign w:val="superscript"/>
        </w:rPr>
        <w:t>1</w:t>
      </w:r>
      <w:r>
        <w:t xml:space="preserve"> </w:t>
      </w:r>
      <w:r>
        <w:rPr>
          <w:i w:val="0"/>
          <w:iCs/>
          <w:spacing w:val="1"/>
          <w:szCs w:val="22"/>
        </w:rPr>
        <w:t>Laboratoire des Domaines Océaniques UMR 6358</w:t>
      </w:r>
      <w:r>
        <w:rPr>
          <w:i w:val="0"/>
        </w:rPr>
        <w:t xml:space="preserve">, Institut Universitaire Européen de la Mer, rue Dumont d'Urville, 29280 </w:t>
      </w:r>
      <w:proofErr w:type="gramStart"/>
      <w:r>
        <w:rPr>
          <w:i w:val="0"/>
        </w:rPr>
        <w:t>PLOUZANÉ ,</w:t>
      </w:r>
      <w:proofErr w:type="gramEnd"/>
      <w:r>
        <w:rPr>
          <w:i w:val="0"/>
        </w:rPr>
        <w:t xml:space="preserve"> France</w:t>
      </w:r>
    </w:p>
    <w:p w:rsidR="003E67A2" w:rsidRPr="003E67A2" w:rsidRDefault="001D1A97" w:rsidP="003E67A2">
      <w:pPr>
        <w:jc w:val="center"/>
        <w:rPr>
          <w:lang w:val="en-US"/>
        </w:rPr>
      </w:pPr>
      <w:r>
        <w:rPr>
          <w:szCs w:val="22"/>
          <w:vertAlign w:val="superscript"/>
        </w:rPr>
        <w:t>2</w:t>
      </w:r>
      <w:r>
        <w:t xml:space="preserve"> </w:t>
      </w:r>
      <w:r>
        <w:rPr>
          <w:rFonts w:ascii="Times New Roman" w:hAnsi="Times New Roman" w:cs="Times New Roman"/>
          <w:color w:val="000000"/>
          <w:szCs w:val="22"/>
        </w:rPr>
        <w:t xml:space="preserve">Laboratoire </w:t>
      </w:r>
      <w:r w:rsidR="003465EE" w:rsidRPr="00AD67B4">
        <w:rPr>
          <w:rFonts w:ascii="Times New Roman" w:hAnsi="Times New Roman" w:cs="Times New Roman"/>
          <w:color w:val="000000"/>
          <w:szCs w:val="22"/>
        </w:rPr>
        <w:t xml:space="preserve">de </w:t>
      </w:r>
      <w:r w:rsidR="003465EE" w:rsidRPr="00887A22">
        <w:rPr>
          <w:rFonts w:ascii="Times New Roman" w:hAnsi="Times New Roman" w:cs="Times New Roman"/>
          <w:color w:val="000000"/>
          <w:szCs w:val="22"/>
        </w:rPr>
        <w:t>Génie Electrique de Grenoble</w:t>
      </w:r>
      <w:r w:rsidR="003E67A2">
        <w:rPr>
          <w:rFonts w:ascii="Times New Roman" w:hAnsi="Times New Roman" w:cs="Times New Roman"/>
          <w:i/>
          <w:color w:val="000000"/>
          <w:szCs w:val="22"/>
        </w:rPr>
        <w:t>,</w:t>
      </w:r>
      <w:r>
        <w:rPr>
          <w:rFonts w:ascii="Times New Roman" w:hAnsi="Times New Roman" w:cs="Times New Roman"/>
          <w:color w:val="000000"/>
          <w:szCs w:val="22"/>
        </w:rPr>
        <w:t xml:space="preserve"> </w:t>
      </w:r>
      <w:r w:rsidR="003E67A2" w:rsidRPr="003E67A2">
        <w:t xml:space="preserve">Univ. </w:t>
      </w:r>
      <w:r w:rsidR="003E67A2" w:rsidRPr="003E67A2">
        <w:rPr>
          <w:lang w:val="en-US"/>
        </w:rPr>
        <w:t xml:space="preserve">Grenoble </w:t>
      </w:r>
      <w:proofErr w:type="spellStart"/>
      <w:r w:rsidR="003E67A2" w:rsidRPr="003E67A2">
        <w:rPr>
          <w:lang w:val="en-US"/>
        </w:rPr>
        <w:t>Alpes</w:t>
      </w:r>
      <w:proofErr w:type="spellEnd"/>
      <w:r w:rsidR="003E67A2" w:rsidRPr="003E67A2">
        <w:rPr>
          <w:lang w:val="en-US"/>
        </w:rPr>
        <w:t>, CNRS, Grenoble INP</w:t>
      </w:r>
    </w:p>
    <w:p w:rsidR="009B35D2" w:rsidRPr="00104707" w:rsidRDefault="003E67A2">
      <w:pPr>
        <w:pStyle w:val="Institution"/>
        <w:rPr>
          <w:rStyle w:val="Lienhypertexte"/>
          <w:lang w:val="en-US"/>
        </w:rPr>
      </w:pPr>
      <w:r w:rsidRPr="00104707">
        <w:rPr>
          <w:rFonts w:ascii="Times New Roman" w:hAnsi="Times New Roman" w:cs="Times New Roman"/>
          <w:i w:val="0"/>
          <w:color w:val="000000"/>
          <w:szCs w:val="22"/>
          <w:lang w:val="en-US"/>
        </w:rPr>
        <w:t>G2Elab, 38000</w:t>
      </w:r>
      <w:r w:rsidR="001D1A97" w:rsidRPr="00104707">
        <w:rPr>
          <w:rFonts w:ascii="Times New Roman" w:hAnsi="Times New Roman" w:cs="Times New Roman"/>
          <w:i w:val="0"/>
          <w:color w:val="000000"/>
          <w:szCs w:val="22"/>
          <w:lang w:val="en-US"/>
        </w:rPr>
        <w:t xml:space="preserve"> </w:t>
      </w:r>
      <w:r w:rsidRPr="00104707">
        <w:rPr>
          <w:rFonts w:ascii="Times New Roman" w:hAnsi="Times New Roman" w:cs="Times New Roman"/>
          <w:i w:val="0"/>
          <w:color w:val="000000"/>
          <w:szCs w:val="22"/>
          <w:lang w:val="en-US"/>
        </w:rPr>
        <w:t>Grenoble</w:t>
      </w:r>
      <w:r w:rsidR="001D1A97" w:rsidRPr="00104707">
        <w:rPr>
          <w:rFonts w:ascii="Times New Roman" w:hAnsi="Times New Roman" w:cs="Times New Roman"/>
          <w:i w:val="0"/>
          <w:color w:val="000000"/>
          <w:szCs w:val="22"/>
          <w:lang w:val="en-US"/>
        </w:rPr>
        <w:t>, France</w:t>
      </w:r>
      <w:r w:rsidR="001D1A97" w:rsidRPr="00104707">
        <w:rPr>
          <w:i w:val="0"/>
          <w:lang w:val="en-US"/>
        </w:rPr>
        <w:t xml:space="preserve"> </w:t>
      </w:r>
    </w:p>
    <w:p w:rsidR="009B35D2" w:rsidRPr="00104707" w:rsidRDefault="001D1A97">
      <w:pPr>
        <w:pStyle w:val="Courriel"/>
        <w:rPr>
          <w:i/>
          <w:lang w:val="en-US"/>
        </w:rPr>
      </w:pPr>
      <w:r w:rsidRPr="00104707">
        <w:rPr>
          <w:rStyle w:val="Lienhypertexte"/>
          <w:lang w:val="en-US"/>
        </w:rPr>
        <w:t>jacek.gieraltowski@univ-brest.fr</w:t>
      </w:r>
    </w:p>
    <w:p w:rsidR="003E67A2" w:rsidRPr="00104707" w:rsidRDefault="003E67A2">
      <w:pPr>
        <w:autoSpaceDE w:val="0"/>
        <w:ind w:firstLine="0"/>
        <w:jc w:val="left"/>
        <w:rPr>
          <w:i/>
          <w:szCs w:val="20"/>
          <w:lang w:val="en-US"/>
        </w:rPr>
      </w:pPr>
    </w:p>
    <w:p w:rsidR="009B35D2" w:rsidRPr="00104707" w:rsidRDefault="001D1A97">
      <w:pPr>
        <w:pStyle w:val="Titre0"/>
        <w:rPr>
          <w:lang w:val="en-US"/>
        </w:rPr>
      </w:pPr>
      <w:proofErr w:type="spellStart"/>
      <w:r w:rsidRPr="00104707">
        <w:rPr>
          <w:lang w:val="en-US"/>
        </w:rPr>
        <w:t>R</w:t>
      </w:r>
      <w:r w:rsidRPr="00104707">
        <w:rPr>
          <w:sz w:val="18"/>
          <w:lang w:val="en-US"/>
        </w:rPr>
        <w:t>É</w:t>
      </w:r>
      <w:r w:rsidRPr="00104707">
        <w:rPr>
          <w:lang w:val="en-US"/>
        </w:rPr>
        <w:t>sum</w:t>
      </w:r>
      <w:r w:rsidRPr="00104707">
        <w:rPr>
          <w:sz w:val="18"/>
          <w:lang w:val="en-US"/>
        </w:rPr>
        <w:t>É</w:t>
      </w:r>
      <w:proofErr w:type="spellEnd"/>
    </w:p>
    <w:p w:rsidR="009B35D2" w:rsidRDefault="001D1A97">
      <w:pPr>
        <w:pStyle w:val="Resume"/>
        <w:rPr>
          <w:b/>
          <w:smallCaps/>
        </w:rPr>
      </w:pPr>
      <w:r>
        <w:t>L’objet de cet article est de détailler quelques consignes à respecter pour la soumission d’une com</w:t>
      </w:r>
      <w:r w:rsidR="007B256B">
        <w:t>munication aux journées GDR 2018</w:t>
      </w:r>
      <w:r>
        <w:t>. Cet article respecte le modèle de contribution requis. Merci de bien vouloir utiliser ce modèle.</w:t>
      </w:r>
    </w:p>
    <w:p w:rsidR="009B35D2" w:rsidRDefault="001D1A97">
      <w:pPr>
        <w:pStyle w:val="Mots-clefs"/>
      </w:pPr>
      <w:r>
        <w:rPr>
          <w:b/>
          <w:i w:val="0"/>
          <w:smallCaps/>
        </w:rPr>
        <w:t>Mots-clefs :</w:t>
      </w:r>
      <w:r>
        <w:t xml:space="preserve"> un à quatre mots-clés ; représentatifs de la communication ; séparés par un point-virgule.</w:t>
      </w:r>
      <w:r>
        <w:fldChar w:fldCharType="begin"/>
      </w:r>
      <w:r>
        <w:instrText xml:space="preserve"> KEYWORDS </w:instrText>
      </w:r>
      <w:r>
        <w:fldChar w:fldCharType="end"/>
      </w:r>
    </w:p>
    <w:p w:rsidR="009B35D2" w:rsidRDefault="001D1A97">
      <w:pPr>
        <w:pStyle w:val="Titre1"/>
      </w:pPr>
      <w:r>
        <w:t>Introduction</w:t>
      </w:r>
    </w:p>
    <w:p w:rsidR="009B35D2" w:rsidRDefault="001D1A97">
      <w:pPr>
        <w:ind w:right="29"/>
      </w:pPr>
      <w:r>
        <w:t>Le recueil des contributions des journées GDR sera constitué de l'ensemble des communications acceptées et sera disponi</w:t>
      </w:r>
      <w:r w:rsidR="00E51905">
        <w:t>ble en ligne, sur le site du G2Elab</w:t>
      </w:r>
      <w:r>
        <w:t xml:space="preserve"> après la tenue des journées thématiques. Afin de faciliter le travail d</w:t>
      </w:r>
      <w:r>
        <w:rPr>
          <w:rFonts w:hint="eastAsia"/>
        </w:rPr>
        <w:t>’</w:t>
      </w:r>
      <w:r>
        <w:t xml:space="preserve">intégration des différentes contributions dans le recueil final nous vous remercions de bien vouloir suivre quelques règles de mises en forme. </w:t>
      </w:r>
    </w:p>
    <w:p w:rsidR="009B35D2" w:rsidRDefault="001D1A97">
      <w:pPr>
        <w:pStyle w:val="Titre1"/>
      </w:pPr>
      <w:r>
        <w:t xml:space="preserve">Consignes </w:t>
      </w:r>
    </w:p>
    <w:p w:rsidR="00583311" w:rsidRPr="00583311" w:rsidRDefault="001D1A97" w:rsidP="00583311">
      <w:pPr>
        <w:rPr>
          <w:shd w:val="clear" w:color="auto" w:fill="FFFF00"/>
        </w:rPr>
      </w:pPr>
      <w:r>
        <w:rPr>
          <w:b/>
        </w:rPr>
        <w:t>Votre article</w:t>
      </w:r>
      <w:r>
        <w:t xml:space="preserve"> </w:t>
      </w:r>
      <w:r>
        <w:rPr>
          <w:b/>
          <w:bCs/>
        </w:rPr>
        <w:t>ne</w:t>
      </w:r>
      <w:r>
        <w:t xml:space="preserve"> </w:t>
      </w:r>
      <w:r>
        <w:rPr>
          <w:b/>
        </w:rPr>
        <w:t>doit pas excéder 2 pages A4 rédigées en français</w:t>
      </w:r>
      <w:r w:rsidR="000A1B05">
        <w:rPr>
          <w:b/>
        </w:rPr>
        <w:t xml:space="preserve"> ou en anglais</w:t>
      </w:r>
      <w:r>
        <w:t>, figures et références co</w:t>
      </w:r>
      <w:r w:rsidR="00583311">
        <w:t xml:space="preserve">mprises. Il sera soumis par </w:t>
      </w:r>
      <w:r w:rsidR="00104707">
        <w:t>e</w:t>
      </w:r>
      <w:r w:rsidR="00583311">
        <w:t>mai</w:t>
      </w:r>
      <w:r w:rsidR="00104707">
        <w:t>l</w:t>
      </w:r>
      <w:bookmarkStart w:id="0" w:name="_GoBack"/>
      <w:bookmarkEnd w:id="0"/>
      <w:r>
        <w:t xml:space="preserve">), </w:t>
      </w:r>
      <w:r>
        <w:rPr>
          <w:b/>
          <w:u w:val="single"/>
          <w:shd w:val="clear" w:color="auto" w:fill="FFFF00"/>
        </w:rPr>
        <w:t>sous un format PDF, sans en-tête ni numérotation des pages</w:t>
      </w:r>
      <w:r w:rsidR="00583311">
        <w:rPr>
          <w:shd w:val="clear" w:color="auto" w:fill="FFFF00"/>
        </w:rPr>
        <w:t>,</w:t>
      </w:r>
      <w:r w:rsidR="004D6456">
        <w:rPr>
          <w:shd w:val="clear" w:color="auto" w:fill="FFFF00"/>
        </w:rPr>
        <w:t xml:space="preserve"> </w:t>
      </w:r>
      <w:r w:rsidR="004D6456" w:rsidRPr="00104707">
        <w:rPr>
          <w:highlight w:val="yellow"/>
          <w:shd w:val="clear" w:color="auto" w:fill="FFFF00"/>
        </w:rPr>
        <w:t>à</w:t>
      </w:r>
      <w:r w:rsidR="00583311" w:rsidRPr="00104707">
        <w:rPr>
          <w:highlight w:val="yellow"/>
          <w:shd w:val="clear" w:color="auto" w:fill="FFFF00"/>
        </w:rPr>
        <w:t xml:space="preserve"> </w:t>
      </w:r>
      <w:r w:rsidR="004D6456" w:rsidRPr="00104707">
        <w:rPr>
          <w:highlight w:val="yellow"/>
        </w:rPr>
        <w:t xml:space="preserve">A. </w:t>
      </w:r>
      <w:proofErr w:type="spellStart"/>
      <w:r w:rsidR="004D6456" w:rsidRPr="00104707">
        <w:rPr>
          <w:highlight w:val="yellow"/>
        </w:rPr>
        <w:t>Asfour</w:t>
      </w:r>
      <w:proofErr w:type="spellEnd"/>
      <w:r w:rsidR="004D6456" w:rsidRPr="00104707">
        <w:rPr>
          <w:highlight w:val="yellow"/>
        </w:rPr>
        <w:t xml:space="preserve">/J. </w:t>
      </w:r>
      <w:proofErr w:type="spellStart"/>
      <w:r w:rsidR="004D6456" w:rsidRPr="00104707">
        <w:rPr>
          <w:highlight w:val="yellow"/>
        </w:rPr>
        <w:t>Gieraltowski</w:t>
      </w:r>
      <w:proofErr w:type="spellEnd"/>
      <w:r w:rsidR="004D6456" w:rsidRPr="00104707">
        <w:rPr>
          <w:highlight w:val="yellow"/>
        </w:rPr>
        <w:t xml:space="preserve"> </w:t>
      </w:r>
      <w:r w:rsidR="00583311" w:rsidRPr="00104707">
        <w:rPr>
          <w:highlight w:val="yellow"/>
        </w:rPr>
        <w:t>à l’adresse :</w:t>
      </w:r>
    </w:p>
    <w:p w:rsidR="00583311" w:rsidRDefault="00583311" w:rsidP="00583311">
      <w:pPr>
        <w:jc w:val="center"/>
      </w:pPr>
    </w:p>
    <w:p w:rsidR="00583311" w:rsidRDefault="00685CEE" w:rsidP="00583311">
      <w:pPr>
        <w:jc w:val="center"/>
      </w:pPr>
      <w:hyperlink r:id="rId9" w:history="1">
        <w:r w:rsidR="00583311" w:rsidRPr="00C95393">
          <w:rPr>
            <w:rStyle w:val="Lienhypertexte"/>
          </w:rPr>
          <w:t>capteurs-magnetiques-2018@listes.g2elab.grenoble-inp.fr</w:t>
        </w:r>
      </w:hyperlink>
    </w:p>
    <w:p w:rsidR="00583311" w:rsidRDefault="00583311" w:rsidP="00B852F5"/>
    <w:p w:rsidR="009B35D2" w:rsidRDefault="001D1A97">
      <w:r>
        <w:t>Les instructions suivantes permettront d</w:t>
      </w:r>
      <w:r>
        <w:rPr>
          <w:rFonts w:hint="eastAsia"/>
        </w:rPr>
        <w:t>’</w:t>
      </w:r>
      <w:r>
        <w:t>assurer une bonne lisibilité du recueil de communications. Ces mises en forme sont réalisées automatiquement en utilisant ce modèle.</w:t>
      </w:r>
    </w:p>
    <w:p w:rsidR="009B35D2" w:rsidRDefault="009B35D2">
      <w:pPr>
        <w:ind w:firstLine="0"/>
      </w:pPr>
    </w:p>
    <w:p w:rsidR="009B35D2" w:rsidRDefault="001D1A97">
      <w:pPr>
        <w:numPr>
          <w:ilvl w:val="0"/>
          <w:numId w:val="2"/>
        </w:numPr>
        <w:rPr>
          <w:b/>
        </w:rPr>
      </w:pPr>
      <w:r>
        <w:rPr>
          <w:b/>
        </w:rPr>
        <w:t>Police de caractères utilisée est</w:t>
      </w:r>
      <w:r>
        <w:t xml:space="preserve"> </w:t>
      </w:r>
      <w:r>
        <w:rPr>
          <w:b/>
          <w:i/>
        </w:rPr>
        <w:t>Times</w:t>
      </w:r>
      <w:r>
        <w:rPr>
          <w:b/>
        </w:rPr>
        <w:t xml:space="preserve"> ou </w:t>
      </w:r>
      <w:r>
        <w:rPr>
          <w:b/>
          <w:i/>
        </w:rPr>
        <w:t>Times New Roman</w:t>
      </w:r>
      <w:r>
        <w:rPr>
          <w:i/>
        </w:rPr>
        <w:t>,</w:t>
      </w:r>
      <w:r>
        <w:t xml:space="preserve"> de taille 11 pt, interligne simple, teste justifié à gauche et à droite.</w:t>
      </w:r>
    </w:p>
    <w:p w:rsidR="009B35D2" w:rsidRDefault="001D1A97">
      <w:pPr>
        <w:numPr>
          <w:ilvl w:val="0"/>
          <w:numId w:val="2"/>
        </w:numPr>
        <w:rPr>
          <w:b/>
        </w:rPr>
      </w:pPr>
      <w:r>
        <w:rPr>
          <w:b/>
        </w:rPr>
        <w:t>Titre</w:t>
      </w:r>
      <w:r>
        <w:t> : centré, gras, en petites capitales et de taille 14 pt</w:t>
      </w:r>
    </w:p>
    <w:p w:rsidR="009B35D2" w:rsidRDefault="001D1A97">
      <w:pPr>
        <w:numPr>
          <w:ilvl w:val="0"/>
          <w:numId w:val="2"/>
        </w:numPr>
        <w:rPr>
          <w:b/>
        </w:rPr>
      </w:pPr>
      <w:proofErr w:type="gramStart"/>
      <w:r>
        <w:rPr>
          <w:b/>
        </w:rPr>
        <w:t xml:space="preserve">Auteurs </w:t>
      </w:r>
      <w:r>
        <w:t> :</w:t>
      </w:r>
      <w:proofErr w:type="gramEnd"/>
      <w:r>
        <w:t xml:space="preserve"> centré, gras</w:t>
      </w:r>
    </w:p>
    <w:p w:rsidR="009B35D2" w:rsidRDefault="001D1A97">
      <w:pPr>
        <w:numPr>
          <w:ilvl w:val="0"/>
          <w:numId w:val="2"/>
        </w:numPr>
      </w:pPr>
      <w:r>
        <w:rPr>
          <w:b/>
        </w:rPr>
        <w:t>Institutions</w:t>
      </w:r>
      <w:r>
        <w:t> : centré et italique</w:t>
      </w:r>
    </w:p>
    <w:p w:rsidR="009B35D2" w:rsidRDefault="001D1A97">
      <w:pPr>
        <w:numPr>
          <w:ilvl w:val="0"/>
          <w:numId w:val="2"/>
        </w:numPr>
        <w:rPr>
          <w:b/>
        </w:rPr>
      </w:pPr>
      <w:r>
        <w:t>A</w:t>
      </w:r>
      <w:r>
        <w:rPr>
          <w:b/>
        </w:rPr>
        <w:t>dresse électronique</w:t>
      </w:r>
      <w:r>
        <w:t> : centré et de taille 10 pt</w:t>
      </w:r>
    </w:p>
    <w:p w:rsidR="009B35D2" w:rsidRDefault="001D1A97">
      <w:pPr>
        <w:numPr>
          <w:ilvl w:val="0"/>
          <w:numId w:val="2"/>
        </w:numPr>
        <w:rPr>
          <w:b/>
        </w:rPr>
      </w:pPr>
      <w:r>
        <w:rPr>
          <w:b/>
        </w:rPr>
        <w:t>Résumé</w:t>
      </w:r>
      <w:r>
        <w:t> : 100 mots maximum ; centré</w:t>
      </w:r>
    </w:p>
    <w:p w:rsidR="009B35D2" w:rsidRDefault="001D1A97">
      <w:pPr>
        <w:numPr>
          <w:ilvl w:val="0"/>
          <w:numId w:val="2"/>
        </w:numPr>
        <w:rPr>
          <w:b/>
        </w:rPr>
      </w:pPr>
      <w:r>
        <w:rPr>
          <w:b/>
        </w:rPr>
        <w:t>Mots-clés</w:t>
      </w:r>
      <w:r>
        <w:t> : un à quatre mots-clés en italique</w:t>
      </w:r>
    </w:p>
    <w:p w:rsidR="009B35D2" w:rsidRDefault="001D1A97">
      <w:pPr>
        <w:numPr>
          <w:ilvl w:val="0"/>
          <w:numId w:val="2"/>
        </w:numPr>
        <w:rPr>
          <w:b/>
        </w:rPr>
      </w:pPr>
      <w:r>
        <w:rPr>
          <w:b/>
        </w:rPr>
        <w:t>Titres de section</w:t>
      </w:r>
      <w:r>
        <w:t xml:space="preserve"> : centré, gras, petites capitales et numérotés, </w:t>
      </w:r>
    </w:p>
    <w:p w:rsidR="009B35D2" w:rsidRDefault="001D1A97">
      <w:pPr>
        <w:numPr>
          <w:ilvl w:val="0"/>
          <w:numId w:val="2"/>
        </w:numPr>
        <w:rPr>
          <w:b/>
        </w:rPr>
      </w:pPr>
      <w:r>
        <w:rPr>
          <w:b/>
        </w:rPr>
        <w:t>Légendes</w:t>
      </w:r>
      <w:r>
        <w:t xml:space="preserve"> : centrées et de taille 10 pt, numérotées, au-dessous d’une figure, au-dessus d’un tableau, sans retrait de première ligne </w:t>
      </w:r>
    </w:p>
    <w:p w:rsidR="009B35D2" w:rsidRDefault="001D1A97">
      <w:pPr>
        <w:numPr>
          <w:ilvl w:val="0"/>
          <w:numId w:val="2"/>
        </w:numPr>
        <w:rPr>
          <w:b/>
        </w:rPr>
      </w:pPr>
      <w:r>
        <w:rPr>
          <w:b/>
        </w:rPr>
        <w:lastRenderedPageBreak/>
        <w:t>Equations </w:t>
      </w:r>
      <w:r>
        <w:t>: centrées et numérotées (numéro aligné avec la marge droite du texte);</w:t>
      </w:r>
    </w:p>
    <w:p w:rsidR="009B35D2" w:rsidRDefault="001D1A97">
      <w:pPr>
        <w:numPr>
          <w:ilvl w:val="0"/>
          <w:numId w:val="2"/>
        </w:numPr>
      </w:pPr>
      <w:r>
        <w:rPr>
          <w:b/>
        </w:rPr>
        <w:t>Références </w:t>
      </w:r>
      <w:r>
        <w:t>: taille 10 </w:t>
      </w:r>
      <w:proofErr w:type="gramStart"/>
      <w:r>
        <w:t>pt, numérotées</w:t>
      </w:r>
      <w:proofErr w:type="gramEnd"/>
      <w:r>
        <w:t xml:space="preserve"> entre crochets, en fin de document.</w:t>
      </w:r>
    </w:p>
    <w:p w:rsidR="009B35D2" w:rsidRDefault="001D1A97">
      <w:pPr>
        <w:pStyle w:val="Titre1"/>
      </w:pPr>
      <w:r>
        <w:t>Figures, tableaux, équations, références</w:t>
      </w:r>
    </w:p>
    <w:p w:rsidR="009B35D2" w:rsidRDefault="001D1A97">
      <w:r>
        <w:t>Un exemple de figure est donné ci-après (Fig. 1). Des figures en couleur peuvent être insérées dans l</w:t>
      </w:r>
      <w:r>
        <w:rPr>
          <w:rFonts w:hint="eastAsia"/>
        </w:rPr>
        <w:t>’</w:t>
      </w:r>
      <w:r>
        <w:t>article. La figure doit être centrée. Attention à la qualité des figures après conversion de votre fichier Word en PDF.</w:t>
      </w:r>
    </w:p>
    <w:p w:rsidR="009B35D2" w:rsidRDefault="009B35D2"/>
    <w:p w:rsidR="009B35D2" w:rsidRDefault="00B72ED1">
      <w:pPr>
        <w:ind w:firstLine="0"/>
        <w:jc w:val="center"/>
      </w:pPr>
      <w:r>
        <w:rPr>
          <w:noProof/>
          <w:lang w:eastAsia="fr-F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521585" cy="2102485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2102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5D2" w:rsidRDefault="001D1A97">
      <w:pPr>
        <w:pStyle w:val="Lgendes"/>
      </w:pPr>
      <w:r>
        <w:t xml:space="preserve">Fig. 1 : Hall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phenomenon</w:t>
      </w:r>
      <w:proofErr w:type="spellEnd"/>
      <w:r>
        <w:t xml:space="preserve"> </w:t>
      </w:r>
    </w:p>
    <w:p w:rsidR="009B35D2" w:rsidRDefault="009B35D2">
      <w:pPr>
        <w:pStyle w:val="Lgendes"/>
        <w:jc w:val="both"/>
      </w:pPr>
    </w:p>
    <w:p w:rsidR="009B35D2" w:rsidRDefault="001D1A97">
      <w:r>
        <w:t xml:space="preserve">Un exemple d’équation est présenté en </w:t>
      </w:r>
      <w:proofErr w:type="spellStart"/>
      <w:r>
        <w:t>Eq</w:t>
      </w:r>
      <w:proofErr w:type="spellEnd"/>
      <w:r>
        <w:t>. (1) :</w:t>
      </w:r>
    </w:p>
    <w:p w:rsidR="009B35D2" w:rsidRDefault="009B35D2"/>
    <w:p w:rsidR="009B35D2" w:rsidRDefault="001D1A97">
      <w:pPr>
        <w:pStyle w:val="Equations"/>
      </w:pPr>
      <w:r>
        <w:tab/>
      </w:r>
      <w:r>
        <w:rPr>
          <w:position w:val="-6"/>
        </w:rPr>
        <w:object w:dxaOrig="13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7.25pt" o:ole="" filled="t">
            <v:fill color2="black"/>
            <v:imagedata r:id="rId11" o:title=""/>
          </v:shape>
          <o:OLEObject Type="Embed" ProgID="Equation.3" ShapeID="_x0000_i1025" DrawAspect="Content" ObjectID="_1582551118" r:id="rId12"/>
        </w:object>
      </w:r>
      <w:r>
        <w:tab/>
        <w:t>(1)</w:t>
      </w:r>
    </w:p>
    <w:p w:rsidR="009B35D2" w:rsidRDefault="001D1A97">
      <w:r>
        <w:t xml:space="preserve">. </w:t>
      </w:r>
    </w:p>
    <w:p w:rsidR="009B35D2" w:rsidRDefault="001D1A97">
      <w:r>
        <w:t>Les références doivent être citées entre crochets [1,2].</w:t>
      </w:r>
    </w:p>
    <w:p w:rsidR="009B35D2" w:rsidRDefault="009B35D2"/>
    <w:p w:rsidR="009B35D2" w:rsidRDefault="001D1A97">
      <w:pPr>
        <w:pStyle w:val="Lgendes"/>
      </w:pPr>
      <w:proofErr w:type="spellStart"/>
      <w:r>
        <w:t>Tab.</w:t>
      </w:r>
      <w:proofErr w:type="spellEnd"/>
      <w:r>
        <w:t> 1 : Exemple de tableau.</w:t>
      </w:r>
    </w:p>
    <w:p w:rsidR="009B35D2" w:rsidRDefault="009B35D2">
      <w:pPr>
        <w:pStyle w:val="Lgendes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64"/>
        <w:gridCol w:w="2282"/>
      </w:tblGrid>
      <w:tr w:rsidR="009B35D2">
        <w:tc>
          <w:tcPr>
            <w:tcW w:w="1964" w:type="dxa"/>
            <w:tcBorders>
              <w:bottom w:val="double" w:sz="1" w:space="0" w:color="000000"/>
            </w:tcBorders>
            <w:shd w:val="clear" w:color="auto" w:fill="auto"/>
          </w:tcPr>
          <w:p w:rsidR="009B35D2" w:rsidRDefault="001D1A9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Paramètre</w:t>
            </w:r>
          </w:p>
        </w:tc>
        <w:tc>
          <w:tcPr>
            <w:tcW w:w="2282" w:type="dxa"/>
            <w:tcBorders>
              <w:bottom w:val="double" w:sz="1" w:space="0" w:color="000000"/>
            </w:tcBorders>
            <w:shd w:val="clear" w:color="auto" w:fill="auto"/>
          </w:tcPr>
          <w:p w:rsidR="009B35D2" w:rsidRDefault="001D1A97">
            <w:pPr>
              <w:ind w:firstLine="0"/>
              <w:jc w:val="center"/>
            </w:pPr>
            <w:r>
              <w:rPr>
                <w:b/>
              </w:rPr>
              <w:t xml:space="preserve">Valeur </w:t>
            </w:r>
          </w:p>
        </w:tc>
      </w:tr>
      <w:tr w:rsidR="009B35D2">
        <w:tc>
          <w:tcPr>
            <w:tcW w:w="1964" w:type="dxa"/>
            <w:tcBorders>
              <w:top w:val="double" w:sz="1" w:space="0" w:color="000000"/>
              <w:bottom w:val="single" w:sz="4" w:space="0" w:color="000000"/>
            </w:tcBorders>
            <w:shd w:val="clear" w:color="auto" w:fill="auto"/>
          </w:tcPr>
          <w:p w:rsidR="009B35D2" w:rsidRDefault="001D1A97">
            <w:pPr>
              <w:ind w:firstLine="0"/>
              <w:jc w:val="center"/>
            </w:pPr>
            <w:r>
              <w:t>YYYYYYYYYYY</w:t>
            </w:r>
          </w:p>
        </w:tc>
        <w:tc>
          <w:tcPr>
            <w:tcW w:w="2282" w:type="dxa"/>
            <w:tcBorders>
              <w:top w:val="double" w:sz="1" w:space="0" w:color="000000"/>
              <w:bottom w:val="single" w:sz="4" w:space="0" w:color="000000"/>
            </w:tcBorders>
            <w:shd w:val="clear" w:color="auto" w:fill="auto"/>
          </w:tcPr>
          <w:p w:rsidR="009B35D2" w:rsidRDefault="001D1A97">
            <w:pPr>
              <w:ind w:firstLine="0"/>
              <w:jc w:val="center"/>
            </w:pPr>
            <w:r>
              <w:t>XXXXXXXXXXXXX</w:t>
            </w:r>
          </w:p>
        </w:tc>
      </w:tr>
      <w:tr w:rsidR="009B35D2">
        <w:tc>
          <w:tcPr>
            <w:tcW w:w="19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35D2" w:rsidRDefault="009B35D2">
            <w:pPr>
              <w:snapToGrid w:val="0"/>
              <w:ind w:firstLine="0"/>
              <w:jc w:val="center"/>
            </w:pP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35D2" w:rsidRDefault="009B35D2">
            <w:pPr>
              <w:snapToGrid w:val="0"/>
              <w:ind w:firstLine="0"/>
              <w:jc w:val="center"/>
            </w:pPr>
          </w:p>
        </w:tc>
      </w:tr>
      <w:tr w:rsidR="009B35D2">
        <w:tc>
          <w:tcPr>
            <w:tcW w:w="19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35D2" w:rsidRDefault="009B35D2">
            <w:pPr>
              <w:snapToGrid w:val="0"/>
              <w:ind w:firstLine="0"/>
              <w:jc w:val="center"/>
            </w:pP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35D2" w:rsidRDefault="009B35D2">
            <w:pPr>
              <w:snapToGrid w:val="0"/>
              <w:ind w:firstLine="0"/>
              <w:jc w:val="center"/>
            </w:pPr>
          </w:p>
        </w:tc>
      </w:tr>
      <w:tr w:rsidR="009B35D2">
        <w:tc>
          <w:tcPr>
            <w:tcW w:w="19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35D2" w:rsidRDefault="009B35D2">
            <w:pPr>
              <w:snapToGrid w:val="0"/>
              <w:ind w:firstLine="0"/>
              <w:jc w:val="center"/>
            </w:pP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35D2" w:rsidRDefault="009B35D2">
            <w:pPr>
              <w:snapToGrid w:val="0"/>
              <w:ind w:firstLine="0"/>
              <w:jc w:val="center"/>
            </w:pPr>
          </w:p>
        </w:tc>
      </w:tr>
      <w:tr w:rsidR="009B35D2">
        <w:tc>
          <w:tcPr>
            <w:tcW w:w="19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35D2" w:rsidRDefault="009B35D2">
            <w:pPr>
              <w:snapToGrid w:val="0"/>
              <w:ind w:firstLine="0"/>
              <w:jc w:val="center"/>
            </w:pP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35D2" w:rsidRDefault="009B35D2">
            <w:pPr>
              <w:snapToGrid w:val="0"/>
              <w:ind w:firstLine="0"/>
              <w:jc w:val="center"/>
            </w:pPr>
          </w:p>
        </w:tc>
      </w:tr>
    </w:tbl>
    <w:p w:rsidR="009B35D2" w:rsidRDefault="009B35D2"/>
    <w:p w:rsidR="009B35D2" w:rsidRDefault="001D1A97">
      <w:pPr>
        <w:pStyle w:val="Titre0"/>
      </w:pPr>
      <w:r>
        <w:t>Conclusion</w:t>
      </w:r>
    </w:p>
    <w:p w:rsidR="009B35D2" w:rsidRPr="003465EE" w:rsidRDefault="001D1A97">
      <w:r>
        <w:t>Cet article a détaillé les règles de présentation d</w:t>
      </w:r>
      <w:r>
        <w:rPr>
          <w:rFonts w:hint="eastAsia"/>
        </w:rPr>
        <w:t>’</w:t>
      </w:r>
      <w:r>
        <w:t>un article aux journées GDR.</w:t>
      </w:r>
    </w:p>
    <w:p w:rsidR="009B35D2" w:rsidRDefault="001D1A97">
      <w:pPr>
        <w:pStyle w:val="Titre0"/>
      </w:pPr>
      <w:proofErr w:type="spellStart"/>
      <w:r>
        <w:rPr>
          <w:lang w:val="en-GB"/>
        </w:rPr>
        <w:t>Références</w:t>
      </w:r>
      <w:proofErr w:type="spellEnd"/>
    </w:p>
    <w:p w:rsidR="009B35D2" w:rsidRDefault="001D1A97">
      <w:pPr>
        <w:pStyle w:val="Rfrences"/>
        <w:numPr>
          <w:ilvl w:val="1"/>
          <w:numId w:val="4"/>
        </w:numPr>
        <w:rPr>
          <w:szCs w:val="22"/>
        </w:rPr>
      </w:pPr>
      <w:bookmarkStart w:id="1" w:name="_Ref190174450"/>
      <w:r>
        <w:t xml:space="preserve">F. </w:t>
      </w:r>
      <w:proofErr w:type="spellStart"/>
      <w:r>
        <w:t>Podevin</w:t>
      </w:r>
      <w:proofErr w:type="spellEnd"/>
      <w:r>
        <w:t xml:space="preserve">, G. Maury </w:t>
      </w:r>
      <w:proofErr w:type="spellStart"/>
      <w:r>
        <w:t>and</w:t>
      </w:r>
      <w:proofErr w:type="spellEnd"/>
      <w:r>
        <w:t xml:space="preserve"> P. Martin, “</w:t>
      </w:r>
      <w:proofErr w:type="spellStart"/>
      <w:r>
        <w:t>Modèle</w:t>
      </w:r>
      <w:proofErr w:type="spellEnd"/>
      <w:r>
        <w:t xml:space="preserve"> </w:t>
      </w:r>
      <w:proofErr w:type="spellStart"/>
      <w:r>
        <w:t>d'Article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les JT 2013 GT2-GT4”, (2013).   </w:t>
      </w:r>
    </w:p>
    <w:p w:rsidR="009B35D2" w:rsidRDefault="001D1A97">
      <w:pPr>
        <w:pStyle w:val="Rfrences"/>
        <w:numPr>
          <w:ilvl w:val="1"/>
          <w:numId w:val="4"/>
        </w:numPr>
        <w:rPr>
          <w:b/>
          <w:szCs w:val="22"/>
          <w:u w:val="single"/>
        </w:rPr>
      </w:pPr>
      <w:r>
        <w:rPr>
          <w:szCs w:val="22"/>
        </w:rPr>
        <w:t xml:space="preserve">J.-M. </w:t>
      </w:r>
      <w:proofErr w:type="spellStart"/>
      <w:r>
        <w:rPr>
          <w:szCs w:val="22"/>
        </w:rPr>
        <w:t>Boccard</w:t>
      </w:r>
      <w:proofErr w:type="spellEnd"/>
      <w:r>
        <w:rPr>
          <w:szCs w:val="22"/>
        </w:rPr>
        <w:t xml:space="preserve">, P. </w:t>
      </w:r>
      <w:proofErr w:type="spellStart"/>
      <w:r>
        <w:rPr>
          <w:szCs w:val="22"/>
        </w:rPr>
        <w:t>Katus</w:t>
      </w:r>
      <w:proofErr w:type="spellEnd"/>
      <w:r>
        <w:rPr>
          <w:szCs w:val="22"/>
        </w:rPr>
        <w:t xml:space="preserve">, R. </w:t>
      </w:r>
      <w:proofErr w:type="spellStart"/>
      <w:r>
        <w:rPr>
          <w:szCs w:val="22"/>
        </w:rPr>
        <w:t>Renevier</w:t>
      </w:r>
      <w:proofErr w:type="spellEnd"/>
      <w:r>
        <w:rPr>
          <w:szCs w:val="22"/>
        </w:rPr>
        <w:t xml:space="preserve">, L. Reindl, J.-M. </w:t>
      </w:r>
      <w:proofErr w:type="spellStart"/>
      <w:r>
        <w:rPr>
          <w:szCs w:val="22"/>
        </w:rPr>
        <w:t>and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Friedt</w:t>
      </w:r>
      <w:proofErr w:type="spellEnd"/>
      <w:r>
        <w:rPr>
          <w:szCs w:val="22"/>
        </w:rPr>
        <w:t xml:space="preserve">, </w:t>
      </w:r>
      <w:proofErr w:type="spellStart"/>
      <w:r>
        <w:rPr>
          <w:i/>
          <w:iCs/>
          <w:szCs w:val="22"/>
        </w:rPr>
        <w:t>Near-field</w:t>
      </w:r>
      <w:proofErr w:type="spellEnd"/>
      <w:r>
        <w:rPr>
          <w:i/>
          <w:iCs/>
          <w:szCs w:val="22"/>
        </w:rPr>
        <w:t xml:space="preserve"> </w:t>
      </w:r>
      <w:proofErr w:type="spellStart"/>
      <w:r>
        <w:rPr>
          <w:i/>
          <w:iCs/>
          <w:szCs w:val="22"/>
        </w:rPr>
        <w:t>interrogation</w:t>
      </w:r>
      <w:proofErr w:type="spellEnd"/>
      <w:r>
        <w:rPr>
          <w:i/>
          <w:iCs/>
          <w:szCs w:val="22"/>
        </w:rPr>
        <w:t xml:space="preserve"> </w:t>
      </w:r>
      <w:proofErr w:type="spellStart"/>
      <w:r>
        <w:rPr>
          <w:i/>
          <w:iCs/>
          <w:szCs w:val="22"/>
        </w:rPr>
        <w:t>of</w:t>
      </w:r>
      <w:proofErr w:type="spellEnd"/>
      <w:r>
        <w:rPr>
          <w:i/>
          <w:iCs/>
          <w:szCs w:val="22"/>
        </w:rPr>
        <w:t xml:space="preserve"> SAW </w:t>
      </w:r>
      <w:proofErr w:type="spellStart"/>
      <w:r>
        <w:rPr>
          <w:i/>
          <w:iCs/>
          <w:szCs w:val="22"/>
        </w:rPr>
        <w:t>resonators</w:t>
      </w:r>
      <w:proofErr w:type="spellEnd"/>
      <w:r>
        <w:rPr>
          <w:i/>
          <w:iCs/>
          <w:szCs w:val="22"/>
        </w:rPr>
        <w:t xml:space="preserve"> on </w:t>
      </w:r>
      <w:proofErr w:type="spellStart"/>
      <w:r>
        <w:rPr>
          <w:i/>
          <w:iCs/>
          <w:szCs w:val="22"/>
        </w:rPr>
        <w:t>rotating</w:t>
      </w:r>
      <w:proofErr w:type="spellEnd"/>
      <w:r>
        <w:rPr>
          <w:i/>
          <w:iCs/>
          <w:szCs w:val="22"/>
        </w:rPr>
        <w:t xml:space="preserve"> </w:t>
      </w:r>
      <w:proofErr w:type="spellStart"/>
      <w:r>
        <w:rPr>
          <w:i/>
          <w:iCs/>
          <w:szCs w:val="22"/>
        </w:rPr>
        <w:t>machinery</w:t>
      </w:r>
      <w:proofErr w:type="spellEnd"/>
      <w:r>
        <w:rPr>
          <w:i/>
          <w:iCs/>
          <w:szCs w:val="22"/>
        </w:rPr>
        <w:t xml:space="preserve">, </w:t>
      </w:r>
      <w:r>
        <w:rPr>
          <w:b/>
          <w:bCs/>
          <w:szCs w:val="22"/>
        </w:rPr>
        <w:t>J. Sens. Sens. Syst.</w:t>
      </w:r>
      <w:r>
        <w:rPr>
          <w:szCs w:val="22"/>
        </w:rPr>
        <w:t xml:space="preserve">, 2, pp. 147-156, </w:t>
      </w:r>
      <w:r>
        <w:rPr>
          <w:szCs w:val="22"/>
          <w:u w:val="single"/>
        </w:rPr>
        <w:t>doi:10.5194/jsss-2-147-2013</w:t>
      </w:r>
      <w:r>
        <w:rPr>
          <w:szCs w:val="22"/>
        </w:rPr>
        <w:t xml:space="preserve">, (2013). </w:t>
      </w:r>
    </w:p>
    <w:bookmarkEnd w:id="1"/>
    <w:p w:rsidR="009B35D2" w:rsidRDefault="009B35D2">
      <w:pPr>
        <w:ind w:firstLine="0"/>
        <w:jc w:val="center"/>
        <w:rPr>
          <w:b/>
          <w:szCs w:val="22"/>
          <w:u w:val="single"/>
          <w:lang w:val="de-DE"/>
        </w:rPr>
      </w:pPr>
    </w:p>
    <w:p w:rsidR="001D1A97" w:rsidRDefault="001D1A97">
      <w:pPr>
        <w:rPr>
          <w:lang w:val="de-DE"/>
        </w:rPr>
      </w:pPr>
    </w:p>
    <w:sectPr w:rsidR="001D1A97">
      <w:pgSz w:w="11906" w:h="16838"/>
      <w:pgMar w:top="1843" w:right="1531" w:bottom="1843" w:left="153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CEE" w:rsidRDefault="00685CEE" w:rsidP="003E67A2">
      <w:r>
        <w:separator/>
      </w:r>
    </w:p>
  </w:endnote>
  <w:endnote w:type="continuationSeparator" w:id="0">
    <w:p w:rsidR="00685CEE" w:rsidRDefault="00685CEE" w:rsidP="003E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CEE" w:rsidRDefault="00685CEE" w:rsidP="003E67A2">
      <w:r>
        <w:separator/>
      </w:r>
    </w:p>
  </w:footnote>
  <w:footnote w:type="continuationSeparator" w:id="0">
    <w:p w:rsidR="00685CEE" w:rsidRDefault="00685CEE" w:rsidP="003E6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Titre1"/>
      <w:lvlText w:val="%1."/>
      <w:lvlJc w:val="left"/>
      <w:pPr>
        <w:tabs>
          <w:tab w:val="num" w:pos="357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-1260"/>
        </w:tabs>
        <w:ind w:left="1980" w:firstLine="0"/>
      </w:pPr>
    </w:lvl>
    <w:lvl w:ilvl="2">
      <w:start w:val="1"/>
      <w:numFmt w:val="decimal"/>
      <w:lvlText w:val="%1.%2.%3"/>
      <w:lvlJc w:val="left"/>
      <w:pPr>
        <w:tabs>
          <w:tab w:val="num" w:pos="-1260"/>
        </w:tabs>
        <w:ind w:left="1980" w:firstLine="0"/>
      </w:pPr>
    </w:lvl>
    <w:lvl w:ilvl="3">
      <w:start w:val="1"/>
      <w:numFmt w:val="decimal"/>
      <w:lvlText w:val="%1.%2.%3.%4."/>
      <w:lvlJc w:val="left"/>
      <w:pPr>
        <w:tabs>
          <w:tab w:val="num" w:pos="-252"/>
        </w:tabs>
        <w:ind w:left="252" w:hanging="648"/>
      </w:pPr>
    </w:lvl>
    <w:lvl w:ilvl="4">
      <w:start w:val="1"/>
      <w:numFmt w:val="decimal"/>
      <w:lvlText w:val="%1.%2.%3.%4.%5."/>
      <w:lvlJc w:val="left"/>
      <w:pPr>
        <w:tabs>
          <w:tab w:val="num" w:pos="252"/>
        </w:tabs>
        <w:ind w:left="252" w:hanging="792"/>
      </w:pPr>
    </w:lvl>
    <w:lvl w:ilvl="5">
      <w:start w:val="1"/>
      <w:numFmt w:val="decimal"/>
      <w:lvlText w:val="%1.%2.%3.%4.%5.%6."/>
      <w:lvlJc w:val="left"/>
      <w:pPr>
        <w:tabs>
          <w:tab w:val="num" w:pos="756"/>
        </w:tabs>
        <w:ind w:left="7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764"/>
        </w:tabs>
        <w:ind w:left="17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340"/>
        </w:tabs>
        <w:ind w:left="2340" w:hanging="144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pStyle w:val="Numrodquations"/>
      <w:lvlText w:val="(%1)"/>
      <w:lvlJc w:val="righ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pStyle w:val="Rfrences"/>
      <w:lvlText w:val="[%1]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[%2]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ED1"/>
    <w:rsid w:val="00091A80"/>
    <w:rsid w:val="000A1B05"/>
    <w:rsid w:val="000A47C3"/>
    <w:rsid w:val="00104707"/>
    <w:rsid w:val="001D1A97"/>
    <w:rsid w:val="00213DFE"/>
    <w:rsid w:val="0029378E"/>
    <w:rsid w:val="003465EE"/>
    <w:rsid w:val="003479EC"/>
    <w:rsid w:val="003E67A2"/>
    <w:rsid w:val="004D6456"/>
    <w:rsid w:val="00583311"/>
    <w:rsid w:val="00685CEE"/>
    <w:rsid w:val="007B256B"/>
    <w:rsid w:val="00887A22"/>
    <w:rsid w:val="00892ABA"/>
    <w:rsid w:val="00906FFC"/>
    <w:rsid w:val="009B35D2"/>
    <w:rsid w:val="00AD67B4"/>
    <w:rsid w:val="00B72ED1"/>
    <w:rsid w:val="00B852F5"/>
    <w:rsid w:val="00C45DFE"/>
    <w:rsid w:val="00E25BD6"/>
    <w:rsid w:val="00E5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firstLine="567"/>
      <w:jc w:val="both"/>
    </w:pPr>
    <w:rPr>
      <w:rFonts w:ascii="Times" w:hAnsi="Times" w:cs="Times"/>
      <w:sz w:val="22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120" w:after="120"/>
      <w:jc w:val="center"/>
      <w:outlineLvl w:val="0"/>
    </w:pPr>
    <w:rPr>
      <w:b/>
      <w:bCs/>
      <w:smallCaps/>
      <w:kern w:val="1"/>
      <w:szCs w:val="22"/>
    </w:rPr>
  </w:style>
  <w:style w:type="paragraph" w:styleId="Titre2">
    <w:name w:val="heading 2"/>
    <w:basedOn w:val="Normal"/>
    <w:next w:val="Normal"/>
    <w:qFormat/>
    <w:pPr>
      <w:keepNext/>
      <w:spacing w:before="240" w:after="60"/>
      <w:ind w:firstLine="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before="240" w:after="60"/>
      <w:ind w:firstLine="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spacing w:before="240" w:after="60"/>
      <w:ind w:firstLine="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spacing w:before="240" w:after="60"/>
      <w:ind w:firstLine="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spacing w:before="240" w:after="60"/>
      <w:ind w:firstLine="0"/>
      <w:outlineLvl w:val="5"/>
    </w:pPr>
    <w:rPr>
      <w:b/>
      <w:bCs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ind w:firstLine="0"/>
      <w:outlineLvl w:val="6"/>
    </w:pPr>
    <w:rPr>
      <w:sz w:val="24"/>
    </w:rPr>
  </w:style>
  <w:style w:type="paragraph" w:styleId="Titre8">
    <w:name w:val="heading 8"/>
    <w:basedOn w:val="Normal"/>
    <w:next w:val="Normal"/>
    <w:qFormat/>
    <w:pPr>
      <w:spacing w:before="240" w:after="60"/>
      <w:ind w:firstLine="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qFormat/>
    <w:pPr>
      <w:spacing w:before="240" w:after="60"/>
      <w:ind w:firstLine="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 w:hint="default"/>
      <w:sz w:val="22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hAnsi="Times New Roman" w:cs="Times New Roman" w:hint="default"/>
      <w:sz w:val="22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ascii="Times New Roman" w:hAnsi="Times New Roman" w:cs="Times New Roman" w:hint="default"/>
      <w:sz w:val="22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Times New Roman" w:hAnsi="Times New Roman" w:cs="Times New Roman" w:hint="default"/>
      <w:sz w:val="22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Times New Roman" w:hAnsi="Times New Roman" w:cs="Times New Roman" w:hint="default"/>
      <w:sz w:val="22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re">
    <w:name w:val="Title"/>
    <w:basedOn w:val="Normal"/>
    <w:next w:val="Auteur"/>
    <w:qFormat/>
    <w:pPr>
      <w:spacing w:after="380"/>
      <w:ind w:firstLine="0"/>
      <w:jc w:val="center"/>
    </w:pPr>
    <w:rPr>
      <w:b/>
      <w:bCs/>
      <w:smallCaps/>
      <w:kern w:val="1"/>
      <w:sz w:val="28"/>
      <w:szCs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Auteur">
    <w:name w:val="Auteur"/>
    <w:basedOn w:val="Normal"/>
    <w:next w:val="Institution"/>
    <w:pPr>
      <w:spacing w:after="120"/>
      <w:ind w:firstLine="0"/>
      <w:jc w:val="center"/>
    </w:pPr>
    <w:rPr>
      <w:b/>
      <w:szCs w:val="22"/>
    </w:rPr>
  </w:style>
  <w:style w:type="paragraph" w:customStyle="1" w:styleId="Institution">
    <w:name w:val="Institution"/>
    <w:basedOn w:val="Auteur"/>
    <w:pPr>
      <w:spacing w:after="0"/>
    </w:pPr>
    <w:rPr>
      <w:b w:val="0"/>
      <w:i/>
      <w:szCs w:val="20"/>
    </w:rPr>
  </w:style>
  <w:style w:type="paragraph" w:customStyle="1" w:styleId="Courriel">
    <w:name w:val="Courriel"/>
    <w:next w:val="Normal"/>
    <w:pPr>
      <w:suppressAutoHyphens/>
      <w:spacing w:before="120" w:after="120"/>
      <w:jc w:val="center"/>
    </w:pPr>
    <w:rPr>
      <w:rFonts w:ascii="Times" w:hAnsi="Times" w:cs="Times"/>
      <w:lang w:eastAsia="ar-SA"/>
    </w:rPr>
  </w:style>
  <w:style w:type="paragraph" w:customStyle="1" w:styleId="Titre0">
    <w:name w:val="Titre 0"/>
    <w:basedOn w:val="Titre1"/>
    <w:next w:val="Normal"/>
    <w:pPr>
      <w:numPr>
        <w:numId w:val="0"/>
      </w:numPr>
    </w:pPr>
  </w:style>
  <w:style w:type="paragraph" w:customStyle="1" w:styleId="Mots-clefs">
    <w:name w:val="Mots-clefs"/>
    <w:basedOn w:val="Normal"/>
    <w:next w:val="Normal"/>
    <w:pPr>
      <w:spacing w:before="120"/>
      <w:ind w:left="567" w:right="567" w:firstLine="0"/>
    </w:pPr>
    <w:rPr>
      <w:i/>
    </w:rPr>
  </w:style>
  <w:style w:type="paragraph" w:customStyle="1" w:styleId="Lgendes">
    <w:name w:val="Légendes"/>
    <w:basedOn w:val="Normal"/>
    <w:pPr>
      <w:ind w:firstLine="0"/>
      <w:jc w:val="center"/>
    </w:pPr>
    <w:rPr>
      <w:sz w:val="20"/>
      <w:szCs w:val="20"/>
    </w:rPr>
  </w:style>
  <w:style w:type="paragraph" w:customStyle="1" w:styleId="Resume">
    <w:name w:val="Resume"/>
    <w:basedOn w:val="Normal"/>
    <w:next w:val="Normal"/>
    <w:pPr>
      <w:ind w:left="567" w:right="567" w:firstLine="0"/>
    </w:pPr>
  </w:style>
  <w:style w:type="paragraph" w:styleId="Retraitcorpsdetexte">
    <w:name w:val="Body Text Indent"/>
    <w:basedOn w:val="Normal"/>
  </w:style>
  <w:style w:type="paragraph" w:customStyle="1" w:styleId="Explorateurdedocuments1">
    <w:name w:val="Explorateur de documents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umrodquations">
    <w:name w:val="Numéro d'équations"/>
    <w:basedOn w:val="Normal"/>
    <w:pPr>
      <w:numPr>
        <w:numId w:val="3"/>
      </w:numPr>
      <w:jc w:val="right"/>
    </w:pPr>
  </w:style>
  <w:style w:type="paragraph" w:customStyle="1" w:styleId="Rfrences">
    <w:name w:val="Références"/>
    <w:basedOn w:val="Normal"/>
    <w:pPr>
      <w:numPr>
        <w:numId w:val="4"/>
      </w:numPr>
    </w:pPr>
    <w:rPr>
      <w:sz w:val="20"/>
      <w:szCs w:val="20"/>
      <w:lang w:val="de-DE"/>
    </w:rPr>
  </w:style>
  <w:style w:type="paragraph" w:customStyle="1" w:styleId="Equations">
    <w:name w:val="Equations"/>
    <w:basedOn w:val="Normal"/>
    <w:pPr>
      <w:tabs>
        <w:tab w:val="center" w:pos="4500"/>
        <w:tab w:val="right" w:pos="9000"/>
      </w:tabs>
      <w:spacing w:before="40" w:after="40"/>
      <w:ind w:firstLine="0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65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5EE"/>
    <w:rPr>
      <w:rFonts w:ascii="Tahoma" w:hAnsi="Tahoma" w:cs="Tahoma"/>
      <w:sz w:val="16"/>
      <w:szCs w:val="16"/>
      <w:lang w:eastAsia="ar-SA"/>
    </w:rPr>
  </w:style>
  <w:style w:type="paragraph" w:styleId="Notedebasdepage">
    <w:name w:val="footnote text"/>
    <w:basedOn w:val="Normal"/>
    <w:link w:val="NotedebasdepageCar"/>
    <w:semiHidden/>
    <w:rsid w:val="003E67A2"/>
    <w:pPr>
      <w:suppressAutoHyphens w:val="0"/>
      <w:ind w:firstLine="202"/>
    </w:pPr>
    <w:rPr>
      <w:rFonts w:ascii="Times New Roman" w:hAnsi="Times New Roman" w:cs="Times New Roman"/>
      <w:sz w:val="16"/>
      <w:szCs w:val="16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3E67A2"/>
    <w:rPr>
      <w:sz w:val="16"/>
      <w:szCs w:val="16"/>
      <w:lang w:val="en-US" w:eastAsia="en-US"/>
    </w:rPr>
  </w:style>
  <w:style w:type="character" w:styleId="Appelnotedebasdep">
    <w:name w:val="footnote reference"/>
    <w:basedOn w:val="Policepardfaut"/>
    <w:semiHidden/>
    <w:rsid w:val="003E67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firstLine="567"/>
      <w:jc w:val="both"/>
    </w:pPr>
    <w:rPr>
      <w:rFonts w:ascii="Times" w:hAnsi="Times" w:cs="Times"/>
      <w:sz w:val="22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120" w:after="120"/>
      <w:jc w:val="center"/>
      <w:outlineLvl w:val="0"/>
    </w:pPr>
    <w:rPr>
      <w:b/>
      <w:bCs/>
      <w:smallCaps/>
      <w:kern w:val="1"/>
      <w:szCs w:val="22"/>
    </w:rPr>
  </w:style>
  <w:style w:type="paragraph" w:styleId="Titre2">
    <w:name w:val="heading 2"/>
    <w:basedOn w:val="Normal"/>
    <w:next w:val="Normal"/>
    <w:qFormat/>
    <w:pPr>
      <w:keepNext/>
      <w:spacing w:before="240" w:after="60"/>
      <w:ind w:firstLine="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before="240" w:after="60"/>
      <w:ind w:firstLine="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spacing w:before="240" w:after="60"/>
      <w:ind w:firstLine="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spacing w:before="240" w:after="60"/>
      <w:ind w:firstLine="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spacing w:before="240" w:after="60"/>
      <w:ind w:firstLine="0"/>
      <w:outlineLvl w:val="5"/>
    </w:pPr>
    <w:rPr>
      <w:b/>
      <w:bCs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ind w:firstLine="0"/>
      <w:outlineLvl w:val="6"/>
    </w:pPr>
    <w:rPr>
      <w:sz w:val="24"/>
    </w:rPr>
  </w:style>
  <w:style w:type="paragraph" w:styleId="Titre8">
    <w:name w:val="heading 8"/>
    <w:basedOn w:val="Normal"/>
    <w:next w:val="Normal"/>
    <w:qFormat/>
    <w:pPr>
      <w:spacing w:before="240" w:after="60"/>
      <w:ind w:firstLine="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qFormat/>
    <w:pPr>
      <w:spacing w:before="240" w:after="60"/>
      <w:ind w:firstLine="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 w:hint="default"/>
      <w:sz w:val="22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hAnsi="Times New Roman" w:cs="Times New Roman" w:hint="default"/>
      <w:sz w:val="22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ascii="Times New Roman" w:hAnsi="Times New Roman" w:cs="Times New Roman" w:hint="default"/>
      <w:sz w:val="22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Times New Roman" w:hAnsi="Times New Roman" w:cs="Times New Roman" w:hint="default"/>
      <w:sz w:val="22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Times New Roman" w:hAnsi="Times New Roman" w:cs="Times New Roman" w:hint="default"/>
      <w:sz w:val="22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re">
    <w:name w:val="Title"/>
    <w:basedOn w:val="Normal"/>
    <w:next w:val="Auteur"/>
    <w:qFormat/>
    <w:pPr>
      <w:spacing w:after="380"/>
      <w:ind w:firstLine="0"/>
      <w:jc w:val="center"/>
    </w:pPr>
    <w:rPr>
      <w:b/>
      <w:bCs/>
      <w:smallCaps/>
      <w:kern w:val="1"/>
      <w:sz w:val="28"/>
      <w:szCs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Auteur">
    <w:name w:val="Auteur"/>
    <w:basedOn w:val="Normal"/>
    <w:next w:val="Institution"/>
    <w:pPr>
      <w:spacing w:after="120"/>
      <w:ind w:firstLine="0"/>
      <w:jc w:val="center"/>
    </w:pPr>
    <w:rPr>
      <w:b/>
      <w:szCs w:val="22"/>
    </w:rPr>
  </w:style>
  <w:style w:type="paragraph" w:customStyle="1" w:styleId="Institution">
    <w:name w:val="Institution"/>
    <w:basedOn w:val="Auteur"/>
    <w:pPr>
      <w:spacing w:after="0"/>
    </w:pPr>
    <w:rPr>
      <w:b w:val="0"/>
      <w:i/>
      <w:szCs w:val="20"/>
    </w:rPr>
  </w:style>
  <w:style w:type="paragraph" w:customStyle="1" w:styleId="Courriel">
    <w:name w:val="Courriel"/>
    <w:next w:val="Normal"/>
    <w:pPr>
      <w:suppressAutoHyphens/>
      <w:spacing w:before="120" w:after="120"/>
      <w:jc w:val="center"/>
    </w:pPr>
    <w:rPr>
      <w:rFonts w:ascii="Times" w:hAnsi="Times" w:cs="Times"/>
      <w:lang w:eastAsia="ar-SA"/>
    </w:rPr>
  </w:style>
  <w:style w:type="paragraph" w:customStyle="1" w:styleId="Titre0">
    <w:name w:val="Titre 0"/>
    <w:basedOn w:val="Titre1"/>
    <w:next w:val="Normal"/>
    <w:pPr>
      <w:numPr>
        <w:numId w:val="0"/>
      </w:numPr>
    </w:pPr>
  </w:style>
  <w:style w:type="paragraph" w:customStyle="1" w:styleId="Mots-clefs">
    <w:name w:val="Mots-clefs"/>
    <w:basedOn w:val="Normal"/>
    <w:next w:val="Normal"/>
    <w:pPr>
      <w:spacing w:before="120"/>
      <w:ind w:left="567" w:right="567" w:firstLine="0"/>
    </w:pPr>
    <w:rPr>
      <w:i/>
    </w:rPr>
  </w:style>
  <w:style w:type="paragraph" w:customStyle="1" w:styleId="Lgendes">
    <w:name w:val="Légendes"/>
    <w:basedOn w:val="Normal"/>
    <w:pPr>
      <w:ind w:firstLine="0"/>
      <w:jc w:val="center"/>
    </w:pPr>
    <w:rPr>
      <w:sz w:val="20"/>
      <w:szCs w:val="20"/>
    </w:rPr>
  </w:style>
  <w:style w:type="paragraph" w:customStyle="1" w:styleId="Resume">
    <w:name w:val="Resume"/>
    <w:basedOn w:val="Normal"/>
    <w:next w:val="Normal"/>
    <w:pPr>
      <w:ind w:left="567" w:right="567" w:firstLine="0"/>
    </w:pPr>
  </w:style>
  <w:style w:type="paragraph" w:styleId="Retraitcorpsdetexte">
    <w:name w:val="Body Text Indent"/>
    <w:basedOn w:val="Normal"/>
  </w:style>
  <w:style w:type="paragraph" w:customStyle="1" w:styleId="Explorateurdedocuments1">
    <w:name w:val="Explorateur de documents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umrodquations">
    <w:name w:val="Numéro d'équations"/>
    <w:basedOn w:val="Normal"/>
    <w:pPr>
      <w:numPr>
        <w:numId w:val="3"/>
      </w:numPr>
      <w:jc w:val="right"/>
    </w:pPr>
  </w:style>
  <w:style w:type="paragraph" w:customStyle="1" w:styleId="Rfrences">
    <w:name w:val="Références"/>
    <w:basedOn w:val="Normal"/>
    <w:pPr>
      <w:numPr>
        <w:numId w:val="4"/>
      </w:numPr>
    </w:pPr>
    <w:rPr>
      <w:sz w:val="20"/>
      <w:szCs w:val="20"/>
      <w:lang w:val="de-DE"/>
    </w:rPr>
  </w:style>
  <w:style w:type="paragraph" w:customStyle="1" w:styleId="Equations">
    <w:name w:val="Equations"/>
    <w:basedOn w:val="Normal"/>
    <w:pPr>
      <w:tabs>
        <w:tab w:val="center" w:pos="4500"/>
        <w:tab w:val="right" w:pos="9000"/>
      </w:tabs>
      <w:spacing w:before="40" w:after="40"/>
      <w:ind w:firstLine="0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65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5EE"/>
    <w:rPr>
      <w:rFonts w:ascii="Tahoma" w:hAnsi="Tahoma" w:cs="Tahoma"/>
      <w:sz w:val="16"/>
      <w:szCs w:val="16"/>
      <w:lang w:eastAsia="ar-SA"/>
    </w:rPr>
  </w:style>
  <w:style w:type="paragraph" w:styleId="Notedebasdepage">
    <w:name w:val="footnote text"/>
    <w:basedOn w:val="Normal"/>
    <w:link w:val="NotedebasdepageCar"/>
    <w:semiHidden/>
    <w:rsid w:val="003E67A2"/>
    <w:pPr>
      <w:suppressAutoHyphens w:val="0"/>
      <w:ind w:firstLine="202"/>
    </w:pPr>
    <w:rPr>
      <w:rFonts w:ascii="Times New Roman" w:hAnsi="Times New Roman" w:cs="Times New Roman"/>
      <w:sz w:val="16"/>
      <w:szCs w:val="16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3E67A2"/>
    <w:rPr>
      <w:sz w:val="16"/>
      <w:szCs w:val="16"/>
      <w:lang w:val="en-US" w:eastAsia="en-US"/>
    </w:rPr>
  </w:style>
  <w:style w:type="character" w:styleId="Appelnotedebasdep">
    <w:name w:val="footnote reference"/>
    <w:basedOn w:val="Policepardfaut"/>
    <w:semiHidden/>
    <w:rsid w:val="003E67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apteurs-magnetiques-2018@listes.g2elab.grenoble-inp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D'ARTICLE</vt:lpstr>
    </vt:vector>
  </TitlesOfParts>
  <Company>G2ELab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D'ARTICLE</dc:title>
  <dc:creator>Yannis</dc:creator>
  <cp:lastModifiedBy>Aktham Asfour</cp:lastModifiedBy>
  <cp:revision>20</cp:revision>
  <cp:lastPrinted>2008-05-15T10:03:00Z</cp:lastPrinted>
  <dcterms:created xsi:type="dcterms:W3CDTF">2018-02-28T13:30:00Z</dcterms:created>
  <dcterms:modified xsi:type="dcterms:W3CDTF">2018-03-14T15:42:00Z</dcterms:modified>
</cp:coreProperties>
</file>